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68" w:beforeLines="15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eastAsia="zh-CN"/>
        </w:rPr>
        <w:t>工艺美术专业</w:t>
      </w:r>
    </w:p>
    <w:p>
      <w:pPr>
        <w:spacing w:before="468" w:beforeLines="15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《工艺雕塑设计与制作》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eastAsia="zh-CN"/>
        </w:rPr>
        <w:t>课程标准</w:t>
      </w:r>
    </w:p>
    <w:p>
      <w:pPr>
        <w:spacing w:before="468" w:beforeLines="15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eastAsia="zh-CN"/>
        </w:rPr>
      </w:pPr>
    </w:p>
    <w:p>
      <w:pPr>
        <w:spacing w:before="468" w:beforeLines="150"/>
        <w:jc w:val="both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96"/>
          <w:szCs w:val="96"/>
        </w:rPr>
      </w:pPr>
    </w:p>
    <w:tbl>
      <w:tblPr>
        <w:tblStyle w:val="6"/>
        <w:tblW w:w="8960" w:type="dxa"/>
        <w:tblInd w:w="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2397"/>
        <w:gridCol w:w="1860"/>
        <w:gridCol w:w="24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263" w:type="dxa"/>
            <w:noWrap w:val="0"/>
            <w:vAlign w:val="center"/>
          </w:tcPr>
          <w:p>
            <w:pPr>
              <w:spacing w:before="97"/>
              <w:ind w:left="142" w:right="135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bidi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bidi="zh-CN"/>
              </w:rPr>
              <w:t>编   制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工艺美术组</w:t>
            </w:r>
          </w:p>
        </w:tc>
        <w:tc>
          <w:tcPr>
            <w:tcW w:w="1860" w:type="dxa"/>
            <w:noWrap w:val="0"/>
            <w:vAlign w:val="center"/>
          </w:tcPr>
          <w:p>
            <w:pPr>
              <w:spacing w:before="97"/>
              <w:ind w:left="187" w:right="178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编制日期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tabs>
                <w:tab w:val="left" w:pos="681"/>
              </w:tabs>
              <w:spacing w:before="97"/>
              <w:ind w:right="13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263" w:type="dxa"/>
            <w:noWrap w:val="0"/>
            <w:vAlign w:val="top"/>
          </w:tcPr>
          <w:p>
            <w:pPr>
              <w:spacing w:before="97"/>
              <w:ind w:left="142" w:right="135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  <w:t>复</w:t>
            </w:r>
            <w:r>
              <w:rPr>
                <w:rFonts w:hint="eastAsia" w:ascii="仿宋" w:hAnsi="仿宋" w:eastAsia="仿宋" w:cs="仿宋"/>
                <w:sz w:val="32"/>
                <w:szCs w:val="32"/>
                <w:lang w:bidi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  <w:t>核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艺术教育系</w:t>
            </w:r>
          </w:p>
        </w:tc>
        <w:tc>
          <w:tcPr>
            <w:tcW w:w="1860" w:type="dxa"/>
            <w:noWrap w:val="0"/>
            <w:vAlign w:val="top"/>
          </w:tcPr>
          <w:p>
            <w:pPr>
              <w:spacing w:before="97"/>
              <w:ind w:left="187" w:right="178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复核日期</w:t>
            </w:r>
          </w:p>
        </w:tc>
        <w:tc>
          <w:tcPr>
            <w:tcW w:w="2440" w:type="dxa"/>
            <w:noWrap w:val="0"/>
            <w:vAlign w:val="top"/>
          </w:tcPr>
          <w:p>
            <w:pPr>
              <w:tabs>
                <w:tab w:val="left" w:pos="681"/>
              </w:tabs>
              <w:spacing w:before="97"/>
              <w:ind w:right="13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263" w:type="dxa"/>
            <w:noWrap w:val="0"/>
            <w:vAlign w:val="top"/>
          </w:tcPr>
          <w:p>
            <w:pPr>
              <w:spacing w:before="104"/>
              <w:ind w:left="142" w:right="135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  <w:t>审</w:t>
            </w:r>
            <w:r>
              <w:rPr>
                <w:rFonts w:hint="eastAsia" w:ascii="仿宋" w:hAnsi="仿宋" w:eastAsia="仿宋" w:cs="仿宋"/>
                <w:sz w:val="32"/>
                <w:szCs w:val="32"/>
                <w:lang w:bidi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  <w:t>批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ind w:firstLine="640" w:firstLineChars="200"/>
              <w:jc w:val="both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教务科</w:t>
            </w:r>
          </w:p>
        </w:tc>
        <w:tc>
          <w:tcPr>
            <w:tcW w:w="1860" w:type="dxa"/>
            <w:noWrap w:val="0"/>
            <w:vAlign w:val="top"/>
          </w:tcPr>
          <w:p>
            <w:pPr>
              <w:spacing w:before="104"/>
              <w:ind w:left="187" w:right="178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审批日期</w:t>
            </w:r>
          </w:p>
        </w:tc>
        <w:tc>
          <w:tcPr>
            <w:tcW w:w="2440" w:type="dxa"/>
            <w:noWrap w:val="0"/>
            <w:vAlign w:val="top"/>
          </w:tcPr>
          <w:p>
            <w:pPr>
              <w:tabs>
                <w:tab w:val="left" w:pos="681"/>
              </w:tabs>
              <w:spacing w:before="104"/>
              <w:ind w:right="13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263" w:type="dxa"/>
            <w:noWrap w:val="0"/>
            <w:vAlign w:val="top"/>
          </w:tcPr>
          <w:p>
            <w:pPr>
              <w:spacing w:before="114"/>
              <w:ind w:left="142" w:right="151"/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zh-CN" w:bidi="zh-CN"/>
              </w:rPr>
              <w:t>开始实施时间</w:t>
            </w:r>
          </w:p>
        </w:tc>
        <w:tc>
          <w:tcPr>
            <w:tcW w:w="6697" w:type="dxa"/>
            <w:gridSpan w:val="3"/>
            <w:noWrap w:val="0"/>
            <w:vAlign w:val="top"/>
          </w:tcPr>
          <w:p>
            <w:pPr>
              <w:tabs>
                <w:tab w:val="left" w:pos="1022"/>
              </w:tabs>
              <w:spacing w:before="114"/>
              <w:ind w:right="37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bidi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 w:bidi="zh-CN"/>
              </w:rPr>
              <w:t>月</w:t>
            </w:r>
            <w:bookmarkStart w:id="0" w:name="_GoBack"/>
            <w:bookmarkEnd w:id="0"/>
          </w:p>
        </w:tc>
      </w:tr>
    </w:tbl>
    <w:p>
      <w:pPr>
        <w:pStyle w:val="5"/>
        <w:widowControl/>
        <w:spacing w:after="119" w:afterAutospacing="0" w:line="363" w:lineRule="atLeast"/>
        <w:jc w:val="both"/>
        <w:rPr>
          <w:rFonts w:hint="eastAsia" w:ascii="宋体" w:hAnsi="宋体" w:cs="宋体"/>
          <w:color w:val="000000"/>
          <w:sz w:val="32"/>
          <w:szCs w:val="32"/>
        </w:rPr>
      </w:pPr>
    </w:p>
    <w:p>
      <w:pPr>
        <w:pStyle w:val="5"/>
        <w:widowControl/>
        <w:tabs>
          <w:tab w:val="left" w:pos="2579"/>
        </w:tabs>
        <w:spacing w:after="119" w:afterAutospacing="0" w:line="363" w:lineRule="atLeast"/>
        <w:jc w:val="both"/>
        <w:rPr>
          <w:rFonts w:hint="eastAsia" w:ascii="宋体" w:hAnsi="宋体" w:cs="宋体"/>
          <w:color w:val="000000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lnNumType w:countBy="0" w:distance="360"/>
          <w:pgNumType w:fmt="decimal"/>
          <w:cols w:space="720" w:num="1"/>
          <w:docGrid w:type="lines" w:linePitch="312" w:charSpace="0"/>
        </w:sectPr>
      </w:pPr>
    </w:p>
    <w:p>
      <w:pPr>
        <w:pStyle w:val="2"/>
        <w:rPr>
          <w:rFonts w:hint="eastAsia"/>
        </w:rPr>
      </w:pPr>
      <w:r>
        <w:rPr>
          <w:rFonts w:hint="eastAsia"/>
        </w:rPr>
        <w:t>《工艺雕塑设计与制作》课程标准</w:t>
      </w:r>
    </w:p>
    <w:tbl>
      <w:tblPr>
        <w:tblStyle w:val="6"/>
        <w:tblW w:w="93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305"/>
        <w:gridCol w:w="178"/>
        <w:gridCol w:w="2174"/>
        <w:gridCol w:w="948"/>
        <w:gridCol w:w="1040"/>
        <w:gridCol w:w="1319"/>
        <w:gridCol w:w="11"/>
        <w:gridCol w:w="1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课程名称</w:t>
            </w:r>
          </w:p>
        </w:tc>
        <w:tc>
          <w:tcPr>
            <w:tcW w:w="7584" w:type="dxa"/>
            <w:gridSpan w:val="8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《工艺雕塑设计与制作》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教学安排</w:t>
            </w:r>
          </w:p>
        </w:tc>
        <w:tc>
          <w:tcPr>
            <w:tcW w:w="2657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第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1-4</w:t>
            </w:r>
            <w:r>
              <w:rPr>
                <w:rFonts w:ascii="宋体" w:hAnsi="宋体"/>
                <w:b/>
                <w:szCs w:val="21"/>
              </w:rPr>
              <w:t>学期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课时时间</w:t>
            </w:r>
          </w:p>
        </w:tc>
        <w:tc>
          <w:tcPr>
            <w:tcW w:w="2939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建议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800</w:t>
            </w:r>
            <w:r>
              <w:rPr>
                <w:rFonts w:ascii="宋体" w:hAnsi="宋体"/>
                <w:b/>
                <w:szCs w:val="21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Cs w:val="21"/>
                <w:lang w:val="zh-CN"/>
              </w:rPr>
            </w:pPr>
            <w:r>
              <w:rPr>
                <w:rFonts w:ascii="宋体" w:hAnsi="宋体"/>
                <w:b/>
                <w:bCs/>
                <w:szCs w:val="21"/>
              </w:rPr>
              <w:t>典型工作任务</w:t>
            </w:r>
            <w:r>
              <w:rPr>
                <w:rFonts w:hint="eastAsia" w:ascii="宋体" w:hAnsi="宋体"/>
                <w:b/>
                <w:bCs/>
                <w:szCs w:val="21"/>
              </w:rPr>
              <w:t>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4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本课程为雕塑方向课程，在第1学期开雕塑制作基础课程。第2-4学期开设花鸟、动物与人物题材的竹/木雕刻作品创作策划、设计和制作技法课程。</w:t>
            </w:r>
          </w:p>
          <w:p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完成特定题材的工艺雕塑作品图文资料收集与整理。能够处理竹、木等工艺雕塑材料，包括选料、开料，并掌握浅浮雕、高浮雕、镂雕、立体圆雕等雕刻技法与技巧，开展花鸟、动物、人物等各类常见雕刻题材</w:t>
            </w:r>
            <w:r>
              <w:rPr>
                <w:rFonts w:hint="eastAsia" w:ascii="宋体" w:hAnsi="宋体"/>
                <w:szCs w:val="21"/>
                <w:lang w:eastAsia="zh-CN"/>
              </w:rPr>
              <w:t>的雕刻作品设计与制作</w:t>
            </w:r>
            <w:r>
              <w:rPr>
                <w:rFonts w:hint="eastAsia" w:ascii="宋体" w:hAnsi="宋体"/>
                <w:szCs w:val="21"/>
              </w:rPr>
              <w:t>实训，完成竹/木雕刻作品的艺术提升和美化。完成该工作的过程是：创作构思、策划-确定主题与内容-绘图（包括造型与装饰）-电脑修图-选料，打坯-雕刻-打磨-配底座与包等。</w:t>
            </w:r>
          </w:p>
          <w:p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受学习任务，准备相关的工具和资料，并检查所需操作工具，确认各项功能是否正常，填写工具使用表格并签字。完成后将表格提交给老师或实训室管理人员，工作过程严格遵循特定工艺流程、工具使用与操作管理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ascii="宋体" w:hAnsi="宋体"/>
                <w:b/>
                <w:bCs/>
                <w:szCs w:val="21"/>
              </w:rPr>
              <w:t>工作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内容分析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283" w:type="dxa"/>
            <w:gridSpan w:val="3"/>
          </w:tcPr>
          <w:p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与学习</w:t>
            </w:r>
            <w:r>
              <w:rPr>
                <w:rFonts w:ascii="宋体" w:hAnsi="宋体"/>
                <w:b/>
                <w:szCs w:val="21"/>
              </w:rPr>
              <w:t>对象：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1.了解广西主要工艺雕塑门类（木根雕、竹雕、核雕、贝雕、角雕、玉石雕等制作历史与现状。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收集不同主题的竹木核玉石贝角雕等优秀作品的图文资料。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.学习雕刻材料、工具、设备及操作方法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4.学习平面雕刻、立体圆雕的造型与装饰纹样设计。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.学习平面雕刻与立体圆雕的</w:t>
            </w:r>
            <w:r>
              <w:rPr>
                <w:rFonts w:hint="eastAsia" w:ascii="宋体" w:hAnsi="宋体"/>
                <w:szCs w:val="21"/>
              </w:rPr>
              <w:t>技法与技巧。</w:t>
            </w:r>
          </w:p>
        </w:tc>
        <w:tc>
          <w:tcPr>
            <w:tcW w:w="3122" w:type="dxa"/>
            <w:gridSpan w:val="2"/>
          </w:tcPr>
          <w:p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工具、设备、材料及资料：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工具、设备：雕刻材料处理相关设备、雕刻相关工具等。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材料、资料：教材、工作页、参考资料、设计图、优秀雕刻作品图文资料、安全操作手册、设备使用规范、相关管理制度等。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工作方法：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个人独立或小组完成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学习</w:t>
            </w:r>
            <w:r>
              <w:rPr>
                <w:rFonts w:ascii="宋体" w:hAnsi="宋体"/>
                <w:b/>
                <w:szCs w:val="21"/>
              </w:rPr>
              <w:t>组织方式：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1.以个体形式，要求独立完成。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2.从教师处领取任务，完成后提交作业。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3.从工具库领取工具，作业后归还。</w:t>
            </w:r>
          </w:p>
        </w:tc>
        <w:tc>
          <w:tcPr>
            <w:tcW w:w="3979" w:type="dxa"/>
            <w:gridSpan w:val="4"/>
          </w:tcPr>
          <w:p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工作要求：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ascii="宋体" w:hAnsi="宋体"/>
                <w:szCs w:val="21"/>
              </w:rPr>
              <w:t>能</w:t>
            </w:r>
            <w:r>
              <w:rPr>
                <w:rFonts w:hint="eastAsia" w:ascii="宋体" w:hAnsi="宋体"/>
                <w:szCs w:val="21"/>
              </w:rPr>
              <w:t>按照学习任务要求，独立收集与整理主要工艺雕塑门类的历史与现状资料</w:t>
            </w:r>
            <w:r>
              <w:rPr>
                <w:rFonts w:hint="eastAsia" w:ascii="宋体" w:hAnsi="宋体"/>
                <w:color w:val="FF0000"/>
                <w:szCs w:val="21"/>
              </w:rPr>
              <w:t>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2.能收集不同主题、不同材料的雕刻作品图文资料并制作成PPT，在课堂上分享。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3.能正确选用并按设备操作规程操作工具与设备。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4.正确遵循工艺雕塑创作流程开展创作活动。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5.在规定时间内，按照老师或企业要求完成既定主题的雕刻作品创作。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6.主要学习内容：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（1）雕刻制作材料认知。流程与技法。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（2）雕刻工具使用方法。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（3）雕刻作品策划、设计思维与方法。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（4）平面雕刻与立体雕刻技法与技巧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（5）不同题材和主题的雕刻作品创作策划、设计与制作。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384" w:type="dxa"/>
            <w:gridSpan w:val="9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代表性工作任务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任务名称</w:t>
            </w:r>
          </w:p>
        </w:tc>
        <w:tc>
          <w:tcPr>
            <w:tcW w:w="567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任务描述</w:t>
            </w:r>
          </w:p>
        </w:tc>
        <w:tc>
          <w:tcPr>
            <w:tcW w:w="160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工作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/学习</w:t>
            </w:r>
            <w:r>
              <w:rPr>
                <w:rFonts w:hint="eastAsia" w:ascii="宋体" w:hAnsi="宋体"/>
                <w:szCs w:val="21"/>
                <w:lang w:eastAsia="zh-CN"/>
              </w:rPr>
              <w:t>时间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（学时）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广西主要工艺雕塑</w:t>
            </w:r>
            <w:r>
              <w:rPr>
                <w:rFonts w:hint="eastAsia" w:ascii="宋体" w:hAnsi="宋体"/>
                <w:szCs w:val="21"/>
                <w:lang w:eastAsia="zh-CN"/>
              </w:rPr>
              <w:t>门类认知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工艺美术专业（雕刻方向）的学生接到期末作品展任务，需要在制作雕刻作品之前，完成对广西主要雕刻工艺的认知学习。</w:t>
            </w:r>
          </w:p>
          <w:p>
            <w:pPr>
              <w:spacing w:line="40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要求搜集桂林大型木根雕、玉石雕、北海贝雕、合浦角雕、南宁竹雕、百色砚雕等雕刻技艺的相关信息，并将图文资料整理成PPT，为后续创作提供素材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38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雕刻材料的认知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工艺美术专业（雕刻方向）的学生接到期末作品展任务，需要在制作雕刻作品之前，能辨认广西常见的雕刻材料。</w:t>
            </w:r>
          </w:p>
          <w:p>
            <w:pPr>
              <w:spacing w:line="40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学生从专业老师和校企合作工艺美术大师工作室接受任务，要求能够分辨老煤竹、香樟木、鸡翅木、杂木等材料及其肌理特征。在学习和工作过程中严格遵守操作规范及安全管理制度。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雕刻设备、工具认知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工艺美术专业（雕刻方向）的学生接到期末作品展任务，需要在制作雕刻作品之前，能选择合适的雕刻设备、工具并掌握期正确的使用方法。</w:t>
            </w:r>
          </w:p>
          <w:p>
            <w:pPr>
              <w:spacing w:line="40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要求能够正确使用手工雕刻刀（平口刀、斜口刀、圆口刀等）、电子雕刻机、电锯、开料机、开槽机、打磨机等工具和设备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雕刻作品制作流程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工艺美术专业（雕刻方向）的学生接到期末作品展任务，需要在制作雕刻作品之前，熟悉雕刻作品的制作流程。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结合不同题材作品创作，以独立或小组合作的方式，学习雕刻作品制作流程：作品策划-设计-选料-造型-雕刻-打磨-包装等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常见雕刻作品造型与图案设计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工艺美术专业（雕刻方向）的学生接到期末作品展任务，需要在制作雕刻作品之前，绘制不同题材作品的造型与装饰图案。</w:t>
            </w:r>
          </w:p>
          <w:p>
            <w:pPr>
              <w:spacing w:line="40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学生从专业老师和校企合作工艺美术大师工作室接受任务，结合不同题材作品创作，独立完成花鸟鱼虫、动物、人物等题材的常见造型和图案的绘制。在学习和工作过程中严格遵守操作规范及安全管理制度。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雕刻材料处理技法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工艺美术专业（雕刻方向）的学生接到期末作品展任务，需要在制作雕刻作品之前，学会处理不同的硬度、大小的雕刻材料。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学生从专业老师和校企合作工艺美术大师工作室接受任务，结合不同题材作品创作，独立完成老煤竹、香樟木、橄榄核、杂木、红木等材料的处理技法。在学习和工作过程中严格遵守操作规范及安全管理制度。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平面雕刻技法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工艺美术专业（雕刻方向）的学生接到期末作品展任务，需要在制作雕刻作品之前，学会根据不同的雕刻材料和作品设计，确定所应用的雕刻技法。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学生从专业老师和校企合作工艺美术大师工作室接受任务，结合不同题材作品创作，通过训练掌握浅浮雕、高浮雕、阴刻、阳刻、线刻等雕刻技法。在学习和工作过程中严格遵守操作规范及安全管理制度。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立体圆雕技法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工艺美术专业（雕刻方向）的学生接到期末作品展任务，需要在制作雕刻作品之前，学会处理不同的雕刻材料和作品设计，确定所应用的雕刻技法。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学生从专业老师和校企合作工艺美术大师工作室接受任务，结合不同题材作品创作，通过训练掌握立体圆雕、透雕、镂空雕等雕刻技法。在学习和工作过程中严格遵守操作规范及安全管理制度。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花鸟题材雕刻品设计与制作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工艺美术专业（雕刻方向）的学生接到期末作品展任务，结合课程学习标准，明确花鸟题材雕刻作品设计与制作任务要求。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设计制作花鸟题材雕刻作品，并根据具体的创作素材与设计，选择合适的材料、雕刻技法，完成10件荷花、兰花、梅花、松竹、牡丹、喜鹊、鸳鸯、画眉等题材的作品制作。在学习和工作过程中严格遵守操作规范及安全管理制度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动物题材雕刻作品设计与制作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工艺美术专业（雕刻方向）的学生接到期末作品展任务，结合课程学习标准，明确动物题材雕刻作品设计与制作任务要求。</w:t>
            </w:r>
          </w:p>
          <w:p>
            <w:pPr>
              <w:spacing w:line="40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设计制作动物题材雕刻作品，并根据具体的创作素材与设计，选择合适的材料、雕刻技法，完成10件十二生肖动物、鱼、蜻蜓、青娃、蟾蜍等题材的作品制作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人物题材雕刻作品设计与制作</w:t>
            </w:r>
          </w:p>
        </w:tc>
        <w:tc>
          <w:tcPr>
            <w:tcW w:w="5670" w:type="dxa"/>
            <w:gridSpan w:val="6"/>
          </w:tcPr>
          <w:p>
            <w:pPr>
              <w:spacing w:line="400" w:lineRule="exact"/>
              <w:ind w:firstLine="210" w:firstLineChars="1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工艺美术专业（雕刻方向）的学生接到期末作品展任务，结合课程学习标准，明确人物题材雕刻作品设计与制作任务要求。</w:t>
            </w:r>
          </w:p>
          <w:p>
            <w:pPr>
              <w:spacing w:line="40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学生从专业老师和校企合作工艺美术大师工作室接受任务，设计制作人物题材雕刻作品，并根据具体的创作素材与设计，选择合适的材料、雕刻技法，完成10件神话人物、历史人物、佛教人物、文学作品人物、民俗与少数民族人物、戏曲人物、古典仕女、现代人物、影视和动漫人物等题材的作品制作。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775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合计</w:t>
            </w:r>
          </w:p>
        </w:tc>
        <w:tc>
          <w:tcPr>
            <w:tcW w:w="1609" w:type="dxa"/>
            <w:vAlign w:val="center"/>
          </w:tcPr>
          <w:p>
            <w:pPr>
              <w:spacing w:line="460" w:lineRule="exact"/>
              <w:ind w:firstLine="411" w:firstLineChars="196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课程目标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学习完本课程后，学生应当能够认识</w:t>
            </w:r>
            <w:r>
              <w:rPr>
                <w:rFonts w:hint="eastAsia" w:ascii="宋体" w:hAnsi="宋体"/>
                <w:szCs w:val="21"/>
              </w:rPr>
              <w:t>所学专业特点与要求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能独立构思、策划并制作出不同题材和主题的雕刻作品</w:t>
            </w:r>
            <w:r>
              <w:rPr>
                <w:rFonts w:ascii="宋体" w:hAnsi="宋体"/>
                <w:szCs w:val="21"/>
              </w:rPr>
              <w:t>。具体的：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1.能</w:t>
            </w:r>
            <w:r>
              <w:rPr>
                <w:rFonts w:hint="eastAsia" w:ascii="宋体" w:hAnsi="宋体"/>
                <w:szCs w:val="21"/>
              </w:rPr>
              <w:t>通过网络或专业书刊查询资料，收集所需信息：文字、图片等。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>能独立构思、策划、设计不同题材、主题的雕刻作品。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3.能</w:t>
            </w:r>
            <w:r>
              <w:rPr>
                <w:rFonts w:hint="eastAsia" w:ascii="宋体" w:hAnsi="宋体"/>
                <w:szCs w:val="21"/>
              </w:rPr>
              <w:t>熟悉各类竹木等雕刻材料的不同，特别是广西本地香樟木、竹、核、玉石等</w:t>
            </w:r>
            <w:r>
              <w:rPr>
                <w:rFonts w:ascii="宋体" w:hAnsi="宋体"/>
                <w:szCs w:val="21"/>
              </w:rPr>
              <w:t>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4.能</w:t>
            </w:r>
            <w:r>
              <w:rPr>
                <w:rFonts w:hint="eastAsia" w:ascii="宋体" w:hAnsi="宋体"/>
                <w:szCs w:val="21"/>
              </w:rPr>
              <w:t>掌握竹木雕刻的工艺流程、基础技法。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5.能</w:t>
            </w:r>
            <w:r>
              <w:rPr>
                <w:rFonts w:hint="eastAsia" w:ascii="宋体" w:hAnsi="宋体"/>
                <w:szCs w:val="21"/>
              </w:rPr>
              <w:t>熟悉各种雕刻设备和工具，并熟练运用</w:t>
            </w:r>
            <w:r>
              <w:rPr>
                <w:rFonts w:ascii="宋体" w:hAnsi="宋体"/>
                <w:szCs w:val="21"/>
              </w:rPr>
              <w:t>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6.能掌握选料-打坯-雕刻-打磨-配底座与包装等技法，并按规范操作。</w:t>
            </w:r>
          </w:p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7.每学期按照课程目标要求，制作出相应题材的雕刻作品参加期末作品展。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学习内容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本课程的主要学习内容包括：</w:t>
            </w:r>
          </w:p>
          <w:p>
            <w:pPr>
              <w:spacing w:line="3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1.雕刻基础认知</w:t>
            </w:r>
          </w:p>
          <w:p>
            <w:pPr>
              <w:spacing w:line="38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广西主要雕刻门类、特征与发展现状的认知。</w:t>
            </w:r>
          </w:p>
          <w:p>
            <w:pPr>
              <w:spacing w:line="3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2.雕刻设备、工具、材料的认知</w:t>
            </w:r>
          </w:p>
          <w:p>
            <w:pPr>
              <w:spacing w:line="38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常用雕刻设备与工具、广西常见的雕刻材料及特点的认知。</w:t>
            </w:r>
          </w:p>
          <w:p>
            <w:pPr>
              <w:spacing w:line="3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3.雕刻作品制作准备</w:t>
            </w:r>
          </w:p>
          <w:p>
            <w:pPr>
              <w:spacing w:line="38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熟悉雕刻制作流程、正确使用雕刻设备及工具、雕刻技法训练，工作场所安全管理等。</w:t>
            </w:r>
          </w:p>
          <w:p>
            <w:pPr>
              <w:spacing w:line="3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4.雕刻作品造型与图案绘制</w:t>
            </w:r>
          </w:p>
          <w:p>
            <w:pPr>
              <w:spacing w:line="38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不同题材的雕刻作品造型规律、造型方法及装饰图案的绘制。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210" w:left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5.雕刻作品制作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210" w:left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不同题材的雕刻作品制作：花鸟题材、动物题材、人物题材及综合题材雕刻作品制作。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210" w:left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6.雕刻作品评价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210" w:left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工艺美术作品的通用评价维度，工艺雕塑作品的评价维度。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ind w:firstLine="413" w:firstLineChars="19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参考性学习任务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380" w:lineRule="exact"/>
              <w:jc w:val="lef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广西主要工艺雕塑</w:t>
            </w:r>
            <w:r>
              <w:rPr>
                <w:rFonts w:hint="eastAsia" w:ascii="宋体" w:hAnsi="宋体"/>
                <w:szCs w:val="21"/>
                <w:lang w:eastAsia="zh-CN"/>
              </w:rPr>
              <w:t>门类认知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雕刻材料的认知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雕刻设备、工具认知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雕刻作品制作流程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常见雕刻作品造型与图案设计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雕刻材料处理技法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平面雕刻技法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立体圆雕技法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花鸟题材雕刻品策划、设计与制作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动物题材雕刻作品策划、设计与制作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105" w:type="dxa"/>
            <w:gridSpan w:val="2"/>
            <w:vAlign w:val="center"/>
          </w:tcPr>
          <w:p>
            <w:pPr>
              <w:spacing w:line="380" w:lineRule="exact"/>
              <w:ind w:firstLine="411" w:firstLineChars="19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5659" w:type="dxa"/>
            <w:gridSpan w:val="5"/>
            <w:vAlign w:val="center"/>
          </w:tcPr>
          <w:p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人物题材雕刻作品策划、设计与制作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ind w:firstLine="411" w:firstLineChars="196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764" w:type="dxa"/>
            <w:gridSpan w:val="7"/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合计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80" w:lineRule="exact"/>
              <w:ind w:firstLine="413" w:firstLineChars="196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教学实施建议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ind w:firstLine="420" w:firstLineChars="200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1.教学组织方式方法建议</w:t>
            </w:r>
          </w:p>
          <w:p>
            <w:pPr>
              <w:spacing w:line="380" w:lineRule="exact"/>
              <w:ind w:firstLine="420" w:firstLineChars="200"/>
              <w:rPr>
                <w:rFonts w:hint="eastAsia" w:ascii="宋体" w:hAnsi="宋体" w:cs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主要采用项目教学法和行动导向教学法组织教学。</w:t>
            </w:r>
            <w:r>
              <w:rPr>
                <w:rFonts w:hint="eastAsia" w:ascii="宋体" w:hAnsi="宋体" w:cs="宋体"/>
                <w:szCs w:val="21"/>
              </w:rPr>
              <w:t>在教学过程中可以从单个具体的任务如茶则的制作开始，从策划、设计、选料处理到最后雕刻制作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出成品</w:t>
            </w:r>
            <w:r>
              <w:rPr>
                <w:rFonts w:hint="eastAsia" w:ascii="宋体" w:hAnsi="宋体" w:cs="宋体"/>
                <w:szCs w:val="21"/>
              </w:rPr>
              <w:t>作为一个教学单元。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在完成工作任务过程中，教师须加强操作示范与学生实训指导，注重学生职业素养和规范操作的养成。</w:t>
            </w:r>
          </w:p>
          <w:p>
            <w:pPr>
              <w:spacing w:line="38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2）</w:t>
            </w:r>
            <w:r>
              <w:rPr>
                <w:rFonts w:hint="eastAsia" w:ascii="宋体" w:hAnsi="宋体" w:cs="宋体"/>
                <w:szCs w:val="21"/>
              </w:rPr>
              <w:t>教学组织过程：策划-选料-开料-雕刻-打磨-配底座与包装-撰写创作说明/推广文案，每个任务均为一个完整的过程。</w:t>
            </w:r>
          </w:p>
          <w:p>
            <w:pPr>
              <w:spacing w:line="38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3）</w:t>
            </w:r>
            <w:r>
              <w:rPr>
                <w:rFonts w:hint="eastAsia" w:ascii="宋体" w:hAnsi="宋体" w:cs="宋体"/>
                <w:szCs w:val="21"/>
              </w:rPr>
              <w:t>教学中要特别强调各类雕刻工艺的基础要点和技法。</w:t>
            </w:r>
          </w:p>
          <w:p>
            <w:pPr>
              <w:spacing w:line="38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4）</w:t>
            </w:r>
            <w:r>
              <w:rPr>
                <w:rFonts w:hint="eastAsia" w:ascii="宋体" w:hAnsi="宋体" w:cs="宋体"/>
                <w:szCs w:val="21"/>
              </w:rPr>
              <w:t>雕刻技法实训的内容依次花鸟、动物、人物等题材，由浅入深展开。</w:t>
            </w:r>
          </w:p>
          <w:p>
            <w:p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3.教学场地</w:t>
            </w:r>
          </w:p>
          <w:p>
            <w:p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雕刻实训室须具备手工雕刻、电子雕刻实训条件，可分为集中教学区、实训教学区、信息检索区、工具存放区与成果展示区，并配备多媒体教学设备、手工雕刻工具、电子雕刻机、雕刻材料处理与打磨设备与工具等，至少同时容纳30人开展教学活动。</w:t>
            </w:r>
          </w:p>
          <w:p>
            <w:pPr>
              <w:spacing w:line="380" w:lineRule="exact"/>
              <w:ind w:firstLine="420" w:firstLineChars="200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4.设备、工具、材料</w:t>
            </w:r>
          </w:p>
          <w:p>
            <w:p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按组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/人配置：通用设备与工具（开料机、开槽机、打磨机、电锯等）、专用工具（手工雕刻工具、电子雕刻机等）、个人操作防护用品、雕刻材料等。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5.教学材料</w:t>
            </w:r>
          </w:p>
          <w:p>
            <w:pPr>
              <w:numPr>
                <w:ilvl w:val="0"/>
                <w:numId w:val="0"/>
              </w:numPr>
              <w:spacing w:line="38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工艺雕塑相关教材、工作页、微课视频、设备及工具使用说明书等。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教学考核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384" w:type="dxa"/>
            <w:gridSpan w:val="9"/>
            <w:vAlign w:val="center"/>
          </w:tcPr>
          <w:p>
            <w:pPr>
              <w:spacing w:line="380" w:lineRule="exact"/>
              <w:ind w:firstLine="420" w:firstLineChars="200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本课程采用过程性考核和终结性考核相结合的方式。课程考核遵循理论基础与实操能力并重的原则，按百分制考评，综合评分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60分为合格。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firstLine="420" w:firstLineChars="200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1.过程性考核</w:t>
            </w:r>
          </w:p>
          <w:p>
            <w:p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以学习任务为基础进行考评，以学生的资料收集与整理、创作策划、作品设计、雕刻技法及工作页完成情况为主要考核点。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采用自我评价、小组评价、教师评价和大师评价相结合的方式进行考核。引导学生通过多方评价，对学习过程进行反思并提出改进意见与措施。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（1）课堂考核</w:t>
            </w:r>
          </w:p>
          <w:p>
            <w:pPr>
              <w:numPr>
                <w:ilvl w:val="0"/>
                <w:numId w:val="0"/>
              </w:numPr>
              <w:spacing w:line="380" w:lineRule="exact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考核点：出勤、学习态度、课堂纪律、小组合作、课堂发言等。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（2）作业考核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420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课前课中课后学习任务完成、小组作业完成及工作页完成等情况。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（3）阶段性考核</w:t>
            </w:r>
          </w:p>
          <w:p>
            <w:pPr>
              <w:numPr>
                <w:ilvl w:val="0"/>
                <w:numId w:val="0"/>
              </w:numPr>
              <w:spacing w:line="380" w:lineRule="exact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课堂小测验、段考、期考等。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420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2.终结性考核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420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学生根据任务要求，制定期末作品展的创作方案，并按雕刻工艺品制作流程与规范，在规定的时</w:t>
            </w:r>
          </w:p>
          <w:p>
            <w:pPr>
              <w:numPr>
                <w:ilvl w:val="0"/>
                <w:numId w:val="0"/>
              </w:numPr>
              <w:spacing w:line="380" w:lineRule="exact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间内完成5件雕刻作品，参加期末作品展览与考核。任务要求：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525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（1）提交5件不同题材、不同形式的雕刻作品。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525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（2）5件作品能够充分运用各种不同的雕刻技法。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525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（3）5件作品采用不同的形式呈现。</w:t>
            </w:r>
          </w:p>
          <w:p>
            <w:pPr>
              <w:numPr>
                <w:ilvl w:val="0"/>
                <w:numId w:val="0"/>
              </w:numPr>
              <w:spacing w:line="380" w:lineRule="exact"/>
              <w:ind w:left="525" w:left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备注：完成上述任务时，可使用所有教学资料，如课程教材、微课视频、工作页、网络资料等。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303F6"/>
    <w:rsid w:val="00425144"/>
    <w:rsid w:val="015B0FEC"/>
    <w:rsid w:val="02307493"/>
    <w:rsid w:val="02BD215D"/>
    <w:rsid w:val="055C42F7"/>
    <w:rsid w:val="0A2E0CB1"/>
    <w:rsid w:val="0A2E63AA"/>
    <w:rsid w:val="0BEC6322"/>
    <w:rsid w:val="0CB523EB"/>
    <w:rsid w:val="20A81EB4"/>
    <w:rsid w:val="2C8A7272"/>
    <w:rsid w:val="2D4F1D37"/>
    <w:rsid w:val="2F8D3E92"/>
    <w:rsid w:val="300B4447"/>
    <w:rsid w:val="30A235E6"/>
    <w:rsid w:val="315409A3"/>
    <w:rsid w:val="32525C4A"/>
    <w:rsid w:val="3477710D"/>
    <w:rsid w:val="373E0B4B"/>
    <w:rsid w:val="37AB4EB6"/>
    <w:rsid w:val="3899724C"/>
    <w:rsid w:val="3A441C4F"/>
    <w:rsid w:val="3AE21231"/>
    <w:rsid w:val="3B8C3464"/>
    <w:rsid w:val="3BE839C1"/>
    <w:rsid w:val="3C1C37AF"/>
    <w:rsid w:val="3CD8477F"/>
    <w:rsid w:val="3D905D7B"/>
    <w:rsid w:val="3EDD5285"/>
    <w:rsid w:val="412C26BB"/>
    <w:rsid w:val="4393249F"/>
    <w:rsid w:val="43D10654"/>
    <w:rsid w:val="4CB46379"/>
    <w:rsid w:val="515B21F4"/>
    <w:rsid w:val="56F614EC"/>
    <w:rsid w:val="5A6B1299"/>
    <w:rsid w:val="5BA950FF"/>
    <w:rsid w:val="5CEB3802"/>
    <w:rsid w:val="65BA1DB5"/>
    <w:rsid w:val="6BAB394D"/>
    <w:rsid w:val="6D451C18"/>
    <w:rsid w:val="6D9C473F"/>
    <w:rsid w:val="6DAB51BF"/>
    <w:rsid w:val="71EA38EA"/>
    <w:rsid w:val="734B45B8"/>
    <w:rsid w:val="76D303F6"/>
    <w:rsid w:val="78DA664E"/>
    <w:rsid w:val="7C69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tabs>
        <w:tab w:val="left" w:pos="5245"/>
      </w:tabs>
      <w:spacing w:line="400" w:lineRule="exact"/>
      <w:jc w:val="center"/>
      <w:outlineLvl w:val="1"/>
    </w:pPr>
    <w:rPr>
      <w:b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uiPriority w:val="0"/>
    <w:pPr>
      <w:spacing w:before="100" w:beforeAutospacing="1" w:after="100" w:afterAutospacing="1"/>
      <w:jc w:val="left"/>
    </w:pPr>
    <w:rPr>
      <w:rFonts w:hint="default"/>
      <w:kern w:val="0"/>
      <w:sz w:val="24"/>
      <w:szCs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2021-09-27T07:40:00Z</dcterms:created>
  <dc:creator>lenovo</dc:creator>
  <cp:lastModifiedBy>橘子</cp:lastModifiedBy>
  <dcterms:modified xsi:type="dcterms:W3CDTF">2021-10-15T10:30:08Z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F7F0EFC3422645AB975B6564752CF9A6</vt:lpwstr>
  </property>
</Properties>
</file>